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eastAsia="zh-CN"/>
        </w:rPr>
        <w:t>走进军营，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放飞梦想</w:t>
      </w:r>
    </w:p>
    <w:p>
      <w:pPr>
        <w:jc w:val="center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——蚌埠市2019年征兵政策解读</w:t>
      </w:r>
    </w:p>
    <w:p>
      <w:pPr>
        <w:jc w:val="center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5264785" cy="2948305"/>
            <wp:effectExtent l="0" t="0" r="12065" b="4445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94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5264785" cy="2948305"/>
            <wp:effectExtent l="0" t="0" r="12065" b="4445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94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A153F"/>
    <w:rsid w:val="211A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2019-05-13T07:48:00Z</dcterms:created>
  <dc:creator>姬金鱼草</dc:creator>
  <cp:lastModifiedBy>姬金鱼草</cp:lastModifiedBy>
  <dcterms:modified xsi:type="dcterms:W3CDTF">2019-05-13T07:50:43Z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